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FCDE00">
      <w:pPr>
        <w:keepNext w:val="0"/>
        <w:keepLines w:val="0"/>
        <w:pageBreakBefore w:val="0"/>
        <w:kinsoku/>
        <w:wordWrap/>
        <w:overflowPunct/>
        <w:topLinePunct w:val="0"/>
        <w:autoSpaceDE/>
        <w:autoSpaceDN/>
        <w:bidi w:val="0"/>
        <w:adjustRightInd/>
        <w:snapToGrid/>
        <w:spacing w:line="560" w:lineRule="exact"/>
        <w:jc w:val="center"/>
        <w:outlineLvl w:val="0"/>
        <w:rPr>
          <w:rFonts w:hint="default" w:ascii="方正小标宋简体" w:hAnsi="黑体" w:eastAsia="方正小标宋简体" w:cs="Times New Roman"/>
          <w:color w:val="000000"/>
          <w:sz w:val="44"/>
          <w:szCs w:val="44"/>
          <w:lang w:val="en-US" w:eastAsia="zh-CN"/>
        </w:rPr>
      </w:pPr>
      <w:r>
        <w:rPr>
          <w:rFonts w:hint="default" w:ascii="方正小标宋简体" w:hAnsi="黑体" w:eastAsia="方正小标宋简体" w:cs="Times New Roman"/>
          <w:color w:val="000000"/>
          <w:sz w:val="44"/>
          <w:szCs w:val="44"/>
          <w:lang w:val="en-US" w:eastAsia="zh-CN"/>
        </w:rPr>
        <w:t>宁波鄞州银行公益基金会捐赠管理</w:t>
      </w:r>
      <w:r>
        <w:rPr>
          <w:rFonts w:hint="eastAsia" w:ascii="方正小标宋简体" w:hAnsi="黑体" w:eastAsia="方正小标宋简体" w:cs="Times New Roman"/>
          <w:color w:val="000000"/>
          <w:sz w:val="44"/>
          <w:szCs w:val="44"/>
          <w:lang w:val="en-US" w:eastAsia="zh-CN"/>
        </w:rPr>
        <w:t>办法</w:t>
      </w:r>
    </w:p>
    <w:p w14:paraId="55A88440">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（修订稿）</w:t>
      </w:r>
    </w:p>
    <w:p w14:paraId="21D6F615">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仿宋" w:hAnsi="仿宋" w:eastAsia="仿宋" w:cs="仿宋"/>
          <w:color w:val="000000"/>
          <w:sz w:val="32"/>
          <w:szCs w:val="32"/>
          <w:lang w:val="en-US" w:eastAsia="zh-CN"/>
        </w:rPr>
      </w:pPr>
    </w:p>
    <w:p w14:paraId="281C53AD">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第一章 总 则</w:t>
      </w:r>
    </w:p>
    <w:p w14:paraId="6FB1F39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第一条</w:t>
      </w:r>
      <w:r>
        <w:rPr>
          <w:rFonts w:hint="eastAsia" w:ascii="仿宋" w:hAnsi="仿宋" w:eastAsia="仿宋" w:cs="仿宋"/>
          <w:color w:val="000000"/>
          <w:sz w:val="32"/>
          <w:szCs w:val="32"/>
          <w:lang w:val="en-US" w:eastAsia="zh-CN"/>
        </w:rPr>
        <w:t xml:space="preserve">  为规范宁波鄞州银行公益基金会（以下简称：基金会）捐赠事务的统一管理，确保慈善资金的募集能够满足基金会公益使命的达成，更好地维护捐赠人权益和受助人需求，实现基金会健康可持续发展，依照中华人民共和国《慈善法》、《基金会管理条例》、《中华人民共和国公益事业捐赠法》、基金会《章程》等相关法律法规和制度，制定本办法。</w:t>
      </w:r>
    </w:p>
    <w:p w14:paraId="593DE7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第二条</w:t>
      </w:r>
      <w:r>
        <w:rPr>
          <w:rFonts w:hint="eastAsia" w:ascii="仿宋" w:hAnsi="仿宋" w:eastAsia="仿宋" w:cs="仿宋"/>
          <w:color w:val="000000"/>
          <w:sz w:val="32"/>
          <w:szCs w:val="32"/>
          <w:lang w:val="en-US" w:eastAsia="zh-CN"/>
        </w:rPr>
        <w:t xml:space="preserve">  本基金会获取社会捐赠是指海内外的自然人、法人和其他组织为支持符合基金会宗旨的公益事业，基于慈善目的自愿、无偿赠与的资金或物资。</w:t>
      </w:r>
    </w:p>
    <w:p w14:paraId="107034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本基金会向社会筹募的资金分为定向捐赠、非定向捐赠、专项基金捐赠。</w:t>
      </w:r>
    </w:p>
    <w:p w14:paraId="455D58B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本基金会向社会筹募的方式包括线上筹募和线下筹募两种。</w:t>
      </w:r>
    </w:p>
    <w:p w14:paraId="05D0D9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本基金会的筹资/筹物管理包括筹集机制的建立、筹资规划、捐赠接受管理、捐赠的监督与评估、信息披露和特别事项管理等内容。</w:t>
      </w:r>
    </w:p>
    <w:p w14:paraId="30273D3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第三条</w:t>
      </w:r>
      <w:r>
        <w:rPr>
          <w:rFonts w:hint="eastAsia" w:ascii="仿宋" w:hAnsi="仿宋" w:eastAsia="仿宋" w:cs="仿宋"/>
          <w:color w:val="000000"/>
          <w:sz w:val="32"/>
          <w:szCs w:val="32"/>
          <w:lang w:val="en-US" w:eastAsia="zh-CN"/>
        </w:rPr>
        <w:t xml:space="preserve">  本基金会向社会筹募和管理活动均严格遵守《章程》所规定的愿景、使命与价值观，并遵循依法、合规、自愿、无偿、公开透明的筹款伦理。</w:t>
      </w:r>
    </w:p>
    <w:p w14:paraId="3A27288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p>
    <w:p w14:paraId="0098CBF1">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第二章  捐赠管理部门</w:t>
      </w:r>
    </w:p>
    <w:p w14:paraId="1AFD03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第四条</w:t>
      </w:r>
      <w:r>
        <w:rPr>
          <w:rFonts w:hint="eastAsia" w:ascii="仿宋" w:hAnsi="仿宋" w:eastAsia="仿宋" w:cs="仿宋"/>
          <w:color w:val="000000"/>
          <w:sz w:val="32"/>
          <w:szCs w:val="32"/>
          <w:lang w:val="en-US" w:eastAsia="zh-CN"/>
        </w:rPr>
        <w:t xml:space="preserve">  理事会依照《章程》的规定负责对基金会重大募捐项目进行审议和决策。</w:t>
      </w:r>
    </w:p>
    <w:p w14:paraId="2F9DFB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第五条</w:t>
      </w:r>
      <w:r>
        <w:rPr>
          <w:rFonts w:hint="eastAsia" w:ascii="仿宋" w:hAnsi="仿宋" w:eastAsia="仿宋" w:cs="仿宋"/>
          <w:color w:val="000000"/>
          <w:sz w:val="32"/>
          <w:szCs w:val="32"/>
          <w:lang w:val="en-US" w:eastAsia="zh-CN"/>
        </w:rPr>
        <w:t xml:space="preserve">  理事会授权理事长办公会议根据基金会的战略发展规划组织编写、制定基金会的筹资策略，确定年度筹款目标和筹资计划，理事长负责年度筹资计划的审批。</w:t>
      </w:r>
    </w:p>
    <w:p w14:paraId="6513FAE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第六条</w:t>
      </w:r>
      <w:r>
        <w:rPr>
          <w:rFonts w:hint="eastAsia" w:ascii="仿宋" w:hAnsi="仿宋" w:eastAsia="仿宋" w:cs="仿宋"/>
          <w:color w:val="000000"/>
          <w:sz w:val="32"/>
          <w:szCs w:val="32"/>
          <w:lang w:val="en-US" w:eastAsia="zh-CN"/>
        </w:rPr>
        <w:t xml:space="preserve">  理事长办公会议负责组织基金会筹资策略和年度筹资计划的实施和筹款目标的达成。</w:t>
      </w:r>
    </w:p>
    <w:p w14:paraId="339BEC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第七条</w:t>
      </w:r>
      <w:r>
        <w:rPr>
          <w:rFonts w:hint="eastAsia" w:ascii="仿宋" w:hAnsi="仿宋" w:eastAsia="仿宋" w:cs="仿宋"/>
          <w:color w:val="000000"/>
          <w:sz w:val="32"/>
          <w:szCs w:val="32"/>
          <w:lang w:val="en-US" w:eastAsia="zh-CN"/>
        </w:rPr>
        <w:t xml:space="preserve">  项目部负责根据项目部年度计划确定年度筹款需求，并根据年度筹款目标制定年度筹资活动和筹资活动规划。</w:t>
      </w:r>
    </w:p>
    <w:p w14:paraId="32655CE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第八条</w:t>
      </w:r>
      <w:r>
        <w:rPr>
          <w:rFonts w:hint="eastAsia" w:ascii="仿宋" w:hAnsi="仿宋" w:eastAsia="仿宋" w:cs="仿宋"/>
          <w:color w:val="000000"/>
          <w:sz w:val="32"/>
          <w:szCs w:val="32"/>
          <w:lang w:val="en-US" w:eastAsia="zh-CN"/>
        </w:rPr>
        <w:t xml:space="preserve">  财务部负责对捐赠资金的管理与监督，并及时根据相关法律法规的要求对捐赠资金的使用情况进行信息披露、评估和反馈。</w:t>
      </w:r>
    </w:p>
    <w:p w14:paraId="407CE17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p>
    <w:p w14:paraId="73F31D45">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仿宋" w:hAnsi="仿宋" w:eastAsia="仿宋" w:cs="仿宋"/>
          <w:color w:val="000000"/>
          <w:sz w:val="32"/>
          <w:szCs w:val="32"/>
          <w:lang w:val="en-US" w:eastAsia="zh-CN"/>
        </w:rPr>
      </w:pPr>
      <w:r>
        <w:rPr>
          <w:rFonts w:hint="eastAsia" w:ascii="黑体" w:hAnsi="黑体" w:eastAsia="黑体" w:cs="黑体"/>
          <w:color w:val="000000"/>
          <w:sz w:val="32"/>
          <w:szCs w:val="32"/>
          <w:lang w:val="en-US" w:eastAsia="zh-CN"/>
        </w:rPr>
        <w:t>第三章  捐赠流程管理</w:t>
      </w:r>
    </w:p>
    <w:p w14:paraId="034BBA2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第九条</w:t>
      </w:r>
      <w:r>
        <w:rPr>
          <w:rFonts w:hint="eastAsia" w:ascii="仿宋" w:hAnsi="仿宋" w:eastAsia="仿宋" w:cs="仿宋"/>
          <w:color w:val="000000"/>
          <w:sz w:val="32"/>
          <w:szCs w:val="32"/>
          <w:lang w:val="en-US" w:eastAsia="zh-CN"/>
        </w:rPr>
        <w:t xml:space="preserve">  筹资渠道管理</w:t>
      </w:r>
    </w:p>
    <w:p w14:paraId="44B2687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理事长办公会议根据基金会的年度筹款目标和计划对基金会筹资渠道的拓展和维护进行讨论和分析，结合基金会的资源和项目规划，</w:t>
      </w:r>
      <w:r>
        <w:rPr>
          <w:rFonts w:hint="eastAsia" w:ascii="仿宋" w:hAnsi="仿宋" w:eastAsia="仿宋" w:cs="仿宋"/>
          <w:color w:val="000000"/>
          <w:kern w:val="0"/>
          <w:sz w:val="32"/>
          <w:szCs w:val="32"/>
          <w:lang w:val="en-US" w:eastAsia="zh-CN"/>
        </w:rPr>
        <w:t>针对各筹资渠道的不同</w:t>
      </w:r>
      <w:r>
        <w:rPr>
          <w:rFonts w:hint="eastAsia" w:ascii="仿宋" w:hAnsi="仿宋" w:eastAsia="仿宋" w:cs="仿宋"/>
          <w:color w:val="000000"/>
          <w:sz w:val="32"/>
          <w:szCs w:val="32"/>
          <w:lang w:val="en-US" w:eastAsia="zh-CN"/>
        </w:rPr>
        <w:t>需求，设计合适的项目类型和数量，并匹配合适的团队人员拓展和维护筹资渠道的良好发展。基金会应避免依赖特定的筹资渠道。</w:t>
      </w:r>
    </w:p>
    <w:p w14:paraId="61E0FE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第十条</w:t>
      </w:r>
      <w:r>
        <w:rPr>
          <w:rFonts w:hint="eastAsia" w:ascii="仿宋" w:hAnsi="仿宋" w:eastAsia="仿宋" w:cs="仿宋"/>
          <w:color w:val="000000"/>
          <w:sz w:val="32"/>
          <w:szCs w:val="32"/>
          <w:lang w:val="en-US" w:eastAsia="zh-CN"/>
        </w:rPr>
        <w:t xml:space="preserve"> 筹资产品管理</w:t>
      </w:r>
    </w:p>
    <w:p w14:paraId="4CDC8EC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筹资产品的设计应符合基金会的使命、愿景、价值观，根据市场调研进行设计。项目部负责筹资产品/公益项目说明书的编写，项目说明书的基本内容应包括：项目背景、受益人基本要求、项目目标、执行团队、实施时间表、项目投入和产出以及相关必须证明文件。项目说明书经秘书长审批后使用。筹资产品的筹款目标应按照项目成本原则进行定价，并控制项目管理成本的支出比例。</w:t>
      </w:r>
    </w:p>
    <w:p w14:paraId="2EF5B9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第十一条</w:t>
      </w:r>
      <w:r>
        <w:rPr>
          <w:rFonts w:hint="eastAsia" w:ascii="仿宋" w:hAnsi="仿宋" w:eastAsia="仿宋" w:cs="仿宋"/>
          <w:color w:val="000000"/>
          <w:sz w:val="32"/>
          <w:szCs w:val="32"/>
          <w:lang w:val="en-US" w:eastAsia="zh-CN"/>
        </w:rPr>
        <w:t xml:space="preserve"> 筹资活动的管理</w:t>
      </w:r>
    </w:p>
    <w:p w14:paraId="2982EA4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（一）筹资活动指基金会为达成筹资目标，依照筹资策略和计划开展的活动。筹资活动方案由项目部组织制定，经秘书处审批后执行。</w:t>
      </w:r>
    </w:p>
    <w:p w14:paraId="7E586D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（二）信息公开</w:t>
      </w:r>
    </w:p>
    <w:p w14:paraId="3DF953D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基金会在开展募捐活动时，应依法在活动现场或募捐活动载体的显著位置公布捐赠组织名称、募捐方案、联系方式和募捐信息查询方法等。如涉及公募的，应和有公募资质的慈善组织开展合作并取得公募备案号，如涉及公共安全、公共秩序、消防事项的，应按照相关其他规定履行批准程序。</w:t>
      </w:r>
    </w:p>
    <w:p w14:paraId="0FA452E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（三）互联网募捐管理。</w:t>
      </w:r>
    </w:p>
    <w:p w14:paraId="2F30F1C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基金会如果开展互联网募捐，应严格遵守国家相关的法律法规和政策规定，规范线上募捐项目的申请和审批流程，依法签订合作协议，并严格执行相关信息披露政策。</w:t>
      </w:r>
    </w:p>
    <w:p w14:paraId="66224D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（四）慈善义拍、义卖以及慈善晚宴的管理</w:t>
      </w:r>
    </w:p>
    <w:p w14:paraId="041F068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慈善义拍是指基金会将收到的带有价值的物品或服务通过拍卖的途径转换为货币资金。基金会应选择具有资质的拍卖师或拍卖机构，在签订规范的委托协议后，开展义拍活动。</w:t>
      </w:r>
    </w:p>
    <w:p w14:paraId="638B88B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拍卖获得的资金按照捐赠人意愿和相关捐赠协议依法分配。</w:t>
      </w:r>
    </w:p>
    <w:p w14:paraId="2D6116B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义拍义卖的捐赠物品的管理参见基金会捐赠物资管理相关规定，按照捐赠物资管理流程进行出库和登记。</w:t>
      </w:r>
    </w:p>
    <w:p w14:paraId="186B53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慈善晚宴可以聚集公众对基金会的关注力，提升基金会的品牌影响力。慈善晚宴的组织应按照公开募捐相关规定进行备案，在现场依法进行信息公布。慈善晚宴承办商的选择适用基金会供应商选聘流程，由项目管理部门负责制定活动方案，秘书处审批后执行。</w:t>
      </w:r>
    </w:p>
    <w:p w14:paraId="157AE8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（五）定向募捐管理</w:t>
      </w:r>
    </w:p>
    <w:p w14:paraId="7762F7C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基金会定向募捐应服务于基金会战略发展目标的达成，在合法合规的范围内向特定捐赠对象募集，明确捐赠目的和筹得款物的用途。</w:t>
      </w:r>
    </w:p>
    <w:p w14:paraId="71DAC25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为防范违规及舆情风险，基金会募集和接收定向募捐遵守基金会筹款伦理的要求，募捐负责人应事先对捐赠主体的信用、资质，捐赠财产的合法性以及捐赠动机的公益性进行相关尽职调查后，报秘书处审批后执行。</w:t>
      </w:r>
    </w:p>
    <w:p w14:paraId="7621247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第十二条</w:t>
      </w:r>
      <w:r>
        <w:rPr>
          <w:rFonts w:hint="eastAsia" w:ascii="仿宋" w:hAnsi="仿宋" w:eastAsia="仿宋" w:cs="仿宋"/>
          <w:color w:val="000000"/>
          <w:sz w:val="32"/>
          <w:szCs w:val="32"/>
          <w:lang w:val="en-US" w:eastAsia="zh-CN"/>
        </w:rPr>
        <w:t xml:space="preserve"> 本基金会原则上不接收有违基金会愿景、使命价值观或有违公益性或超出基金会业务范围的定向捐赠，在不确定捐赠资金或物资是否存在潜在违规风险时，基金会应与捐赠方签订免责声明。</w:t>
      </w:r>
    </w:p>
    <w:p w14:paraId="20C6D1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第十三条</w:t>
      </w:r>
      <w:r>
        <w:rPr>
          <w:rFonts w:hint="eastAsia" w:ascii="仿宋" w:hAnsi="仿宋" w:eastAsia="仿宋" w:cs="仿宋"/>
          <w:color w:val="000000"/>
          <w:sz w:val="32"/>
          <w:szCs w:val="32"/>
          <w:lang w:val="en-US" w:eastAsia="zh-CN"/>
        </w:rPr>
        <w:t xml:space="preserve"> 基金会财务部负责捐赠资金的接收管理，及时监控赠款的到账情况，对于未能按照捐赠协议(包括有法律效力的口头协议)如期到账的赠款，财务部应及时与捐赠人或合作方沟通，确保问题的及时解决，并将此情况及时上报秘书处。</w:t>
      </w:r>
    </w:p>
    <w:p w14:paraId="2C12E3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第十四条</w:t>
      </w:r>
      <w:r>
        <w:rPr>
          <w:rFonts w:hint="eastAsia" w:ascii="仿宋" w:hAnsi="仿宋" w:eastAsia="仿宋" w:cs="仿宋"/>
          <w:color w:val="000000"/>
          <w:sz w:val="32"/>
          <w:szCs w:val="32"/>
          <w:lang w:val="en-US" w:eastAsia="zh-CN"/>
        </w:rPr>
        <w:t xml:space="preserve"> 捐赠退款的管理</w:t>
      </w:r>
    </w:p>
    <w:p w14:paraId="68CC87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本基金会捐赠退款的管理按照国家相关法律法规执行，对于违反协议规定，滥用捐赠财产或擅自改变捐赠财产性质和用途的受益人或合作公益组织，基金会保留向相关部门投诉举报以及诉讼的权利。</w:t>
      </w:r>
    </w:p>
    <w:p w14:paraId="03405B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第十五条</w:t>
      </w:r>
      <w:r>
        <w:rPr>
          <w:rFonts w:hint="eastAsia" w:ascii="仿宋" w:hAnsi="仿宋" w:eastAsia="仿宋" w:cs="仿宋"/>
          <w:color w:val="000000"/>
          <w:sz w:val="32"/>
          <w:szCs w:val="32"/>
          <w:lang w:val="en-US" w:eastAsia="zh-CN"/>
        </w:rPr>
        <w:t xml:space="preserve"> 筹资成本管理</w:t>
      </w:r>
    </w:p>
    <w:p w14:paraId="3136D4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本基金会严格按照民政监管部门的规定执行筹款工作中筹资费用、管理费用和项目支出的比例，财务部负责各项费用和支出的把控，项目部负责对筹款活动和项目执行的效果进行监督和管理，共同规避可能存在的舆情和公信力风险。</w:t>
      </w:r>
    </w:p>
    <w:p w14:paraId="4A477A0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第十六</w:t>
      </w:r>
      <w:r>
        <w:rPr>
          <w:rFonts w:hint="eastAsia" w:ascii="仿宋" w:hAnsi="仿宋" w:eastAsia="仿宋" w:cs="仿宋"/>
          <w:color w:val="000000"/>
          <w:sz w:val="32"/>
          <w:szCs w:val="32"/>
          <w:lang w:val="en-US" w:eastAsia="zh-CN"/>
        </w:rPr>
        <w:t>条 筹资方案的变更</w:t>
      </w:r>
    </w:p>
    <w:p w14:paraId="1024CD9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当所筹款项达不到项目启动标准时，基金会可以考虑项目变更，项目的变更由项目部提出，报秘书处审批后执行。如项目变更涉及公开募捐方案备案的变更，应按照民政部门的相关规定执行。</w:t>
      </w:r>
    </w:p>
    <w:p w14:paraId="1CC7DEF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第十七条</w:t>
      </w:r>
      <w:r>
        <w:rPr>
          <w:rFonts w:hint="eastAsia" w:ascii="仿宋" w:hAnsi="仿宋" w:eastAsia="仿宋" w:cs="仿宋"/>
          <w:color w:val="000000"/>
          <w:sz w:val="32"/>
          <w:szCs w:val="32"/>
          <w:lang w:val="en-US" w:eastAsia="zh-CN"/>
        </w:rPr>
        <w:t xml:space="preserve"> 筹资工作评价与总结</w:t>
      </w:r>
    </w:p>
    <w:p w14:paraId="560AB24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基金会对筹资工作进行半年度和年度评价和总结，筹资项目管理部门结合基金会年度筹资计划对筹资计划的完成，筹资工作的组织和执行水平进行评价和总结，并提出持续改进措施，用于指导基金会未来筹资工作的发展和提高。</w:t>
      </w:r>
    </w:p>
    <w:p w14:paraId="600EBC8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p>
    <w:p w14:paraId="3720E9D3">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第四章  捐赠款物的使用和管理</w:t>
      </w:r>
    </w:p>
    <w:p w14:paraId="45C21E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第十八条</w:t>
      </w:r>
      <w:r>
        <w:rPr>
          <w:rFonts w:hint="eastAsia" w:ascii="仿宋" w:hAnsi="仿宋" w:eastAsia="仿宋" w:cs="仿宋"/>
          <w:color w:val="000000"/>
          <w:sz w:val="32"/>
          <w:szCs w:val="32"/>
          <w:lang w:val="en-US" w:eastAsia="zh-CN"/>
        </w:rPr>
        <w:t xml:space="preserve"> 各捐赠项目单独核算，统一进行收付款项、开具捐赠收据，决算管理。接受主管部门和审计部门的年度检查与审计，进行信息公开。</w:t>
      </w:r>
    </w:p>
    <w:p w14:paraId="5A1469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第十九条</w:t>
      </w:r>
      <w:r>
        <w:rPr>
          <w:rFonts w:hint="eastAsia" w:ascii="仿宋" w:hAnsi="仿宋" w:eastAsia="仿宋" w:cs="仿宋"/>
          <w:color w:val="000000"/>
          <w:sz w:val="32"/>
          <w:szCs w:val="32"/>
          <w:lang w:val="en-US" w:eastAsia="zh-CN"/>
        </w:rPr>
        <w:t xml:space="preserve">  定向、专项捐赠款物的使用和管理</w:t>
      </w:r>
    </w:p>
    <w:p w14:paraId="089630A0">
      <w:pPr>
        <w:keepNext w:val="0"/>
        <w:keepLines w:val="0"/>
        <w:pageBreakBefore w:val="0"/>
        <w:kinsoku/>
        <w:wordWrap/>
        <w:overflowPunct/>
        <w:topLinePunct w:val="0"/>
        <w:autoSpaceDE/>
        <w:autoSpaceDN/>
        <w:bidi w:val="0"/>
        <w:adjustRightInd/>
        <w:snapToGrid/>
        <w:spacing w:line="560" w:lineRule="exact"/>
        <w:jc w:val="left"/>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捐赠人约定具体使用用途的捐赠款物，由捐赠人向本基金会该项目负责人提出申请，项目负责人根据双方协议规定经财务部审核后，报秘书处批准，拨付相关项目管理、使用。项目负责人负责监督此类款物的使用情况，结项报告经财务部审核后，报秘书处审批，有需要时可以向捐赠人通报和公众披露。</w:t>
      </w:r>
    </w:p>
    <w:p w14:paraId="40088DC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第二十条</w:t>
      </w:r>
      <w:r>
        <w:rPr>
          <w:rFonts w:hint="eastAsia" w:ascii="仿宋" w:hAnsi="仿宋" w:eastAsia="仿宋" w:cs="仿宋"/>
          <w:color w:val="000000"/>
          <w:sz w:val="32"/>
          <w:szCs w:val="32"/>
          <w:lang w:val="en-US" w:eastAsia="zh-CN"/>
        </w:rPr>
        <w:t xml:space="preserve">  非限定性捐赠款物的使用和管理</w:t>
      </w:r>
    </w:p>
    <w:p w14:paraId="64BB5690">
      <w:pPr>
        <w:keepNext w:val="0"/>
        <w:keepLines w:val="0"/>
        <w:pageBreakBefore w:val="0"/>
        <w:kinsoku/>
        <w:wordWrap/>
        <w:overflowPunct/>
        <w:topLinePunct w:val="0"/>
        <w:autoSpaceDE/>
        <w:autoSpaceDN/>
        <w:bidi w:val="0"/>
        <w:adjustRightInd/>
        <w:snapToGrid/>
        <w:spacing w:line="560" w:lineRule="exact"/>
        <w:jc w:val="left"/>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捐赠人未约定使用用途，直接捐赠给基金会的款物，由财务部统一设置明细账管理，由秘书处根据基金会发展的需要统筹规划。</w:t>
      </w:r>
    </w:p>
    <w:p w14:paraId="597D41A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第二十一条</w:t>
      </w:r>
      <w:r>
        <w:rPr>
          <w:rFonts w:hint="eastAsia" w:ascii="仿宋" w:hAnsi="仿宋" w:eastAsia="仿宋" w:cs="仿宋"/>
          <w:color w:val="000000"/>
          <w:sz w:val="32"/>
          <w:szCs w:val="32"/>
          <w:lang w:val="en-US" w:eastAsia="zh-CN"/>
        </w:rPr>
        <w:t xml:space="preserve">  捐赠物资的管理</w:t>
      </w:r>
    </w:p>
    <w:p w14:paraId="0D828E0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一）基金金会接受的实物捐赠（指除现金以外的捐赠，如图书、仪器设备、车辆、苗木、建材及系统软件等），须填写《物资入库申请》，由项目负责人协助综合部办理相关接收手续，财务部设立专门会计科目单独核算管理。 </w:t>
      </w:r>
    </w:p>
    <w:p w14:paraId="73E14B3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二）所有捐赠物资的接收均需履行现场验收程序。验收工作应由捐赠人、综合部与项目部三方代表共同参与，对物资数量与状态进行核实，并共同签字确认。对于质量不符、包装破损、功能异常或无法满足使用需求的物资，现场应予以拒收。对于无法即时交付的捐赠物资，基金会应与捐赠人签订书面捐赠协议，明确物资种类、质量、数量、交付时间及双方责任，确保捐赠行为规范、权责清晰。</w:t>
      </w:r>
    </w:p>
    <w:p w14:paraId="5B11CE0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（三）捐赠物资应由综合部负责保管，建立保管台账，定期清查对账，确保账实相符。</w:t>
      </w:r>
    </w:p>
    <w:p w14:paraId="13529E5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（四）基金会严格履行捐赠协议，按规定进行捐赠物资的出库及分发工作。对捐赠人有明确意愿的物资，基金会完全按捐赠人意愿使用。</w:t>
      </w:r>
    </w:p>
    <w:p w14:paraId="6192DC2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（五）受捐赠物资无法用于约定的公益用途时，基金会在取得捐赠人同意后可以依法拍卖或者变卖，所得收入用于捐赠。</w:t>
      </w:r>
    </w:p>
    <w:p w14:paraId="4BADE0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（六）确需报废的物资，应由综合部提出申请，说明报废原因并提供相关证据。经审批后，按相关规定进行处置，并同步完成账务核销。报废过程应保留影像、审批单等资料，确保处置过程可追溯。</w:t>
      </w:r>
    </w:p>
    <w:p w14:paraId="3D5196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第二十二条</w:t>
      </w:r>
      <w:r>
        <w:rPr>
          <w:rFonts w:hint="eastAsia" w:ascii="仿宋" w:hAnsi="仿宋" w:eastAsia="仿宋" w:cs="仿宋"/>
          <w:color w:val="000000"/>
          <w:sz w:val="32"/>
          <w:szCs w:val="32"/>
          <w:lang w:val="en-US" w:eastAsia="zh-CN"/>
        </w:rPr>
        <w:t xml:space="preserve">  为规范管理，基金会不允许对未经入账和登记的捐赠款项和物品进行使用。若发生此类行为，将追究当事单位和个人的责任。</w:t>
      </w:r>
    </w:p>
    <w:p w14:paraId="56921631">
      <w:pPr>
        <w:keepNext w:val="0"/>
        <w:keepLines w:val="0"/>
        <w:pageBreakBefore w:val="0"/>
        <w:kinsoku/>
        <w:wordWrap/>
        <w:overflowPunct/>
        <w:topLinePunct w:val="0"/>
        <w:autoSpaceDE/>
        <w:autoSpaceDN/>
        <w:bidi w:val="0"/>
        <w:adjustRightInd/>
        <w:snapToGrid/>
        <w:spacing w:line="560" w:lineRule="exact"/>
        <w:jc w:val="left"/>
        <w:outlineLvl w:val="0"/>
        <w:rPr>
          <w:rFonts w:hint="eastAsia" w:ascii="仿宋" w:hAnsi="仿宋" w:eastAsia="仿宋" w:cs="仿宋"/>
          <w:color w:val="000000"/>
          <w:sz w:val="32"/>
          <w:szCs w:val="32"/>
          <w:lang w:val="en-US" w:eastAsia="zh-CN"/>
        </w:rPr>
      </w:pPr>
    </w:p>
    <w:p w14:paraId="0DC232B1">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第五章　捐赠人维护</w:t>
      </w:r>
    </w:p>
    <w:p w14:paraId="2C4106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第二十三条</w:t>
      </w:r>
      <w:r>
        <w:rPr>
          <w:rFonts w:hint="eastAsia" w:ascii="仿宋" w:hAnsi="仿宋" w:eastAsia="仿宋" w:cs="仿宋"/>
          <w:color w:val="000000"/>
          <w:sz w:val="32"/>
          <w:szCs w:val="32"/>
          <w:lang w:val="en-US" w:eastAsia="zh-CN"/>
        </w:rPr>
        <w:t xml:space="preserve">  在征得捐赠人同意的情况下，财务部按照基金会有关规定向捐赠人开具捐赠收据、颁发捐赠证书；</w:t>
      </w:r>
    </w:p>
    <w:p w14:paraId="4784FE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第二十四条</w:t>
      </w:r>
      <w:r>
        <w:rPr>
          <w:rFonts w:hint="eastAsia" w:ascii="仿宋" w:hAnsi="仿宋" w:eastAsia="仿宋" w:cs="仿宋"/>
          <w:color w:val="000000"/>
          <w:sz w:val="32"/>
          <w:szCs w:val="32"/>
          <w:lang w:val="en-US" w:eastAsia="zh-CN"/>
        </w:rPr>
        <w:t xml:space="preserve">  根据资金募集方式，基金会对线下和线上捐赠进行分类管理维护，分别建立捐赠人台账。 </w:t>
      </w:r>
    </w:p>
    <w:p w14:paraId="14A71C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线上捐赠主要依托互联网技术进行沟通；</w:t>
      </w:r>
    </w:p>
    <w:p w14:paraId="387B3CA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线下捐赠主要采取走访和年报等材料寄送等形式，加强捐赠人互动合作。</w:t>
      </w:r>
    </w:p>
    <w:p w14:paraId="10F60EA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第二十五条</w:t>
      </w:r>
      <w:r>
        <w:rPr>
          <w:rFonts w:hint="eastAsia" w:ascii="仿宋" w:hAnsi="仿宋" w:eastAsia="仿宋" w:cs="仿宋"/>
          <w:color w:val="000000"/>
          <w:sz w:val="32"/>
          <w:szCs w:val="32"/>
          <w:lang w:val="en-US" w:eastAsia="zh-CN"/>
        </w:rPr>
        <w:t xml:space="preserve">  在基金会网站、年报、公众号、相关专报和合作媒体等基金会宣传载体对捐赠人予以感谢，并对捐赠人通过线上线下渠道提出的投诉及建议予以及时沟通回复。对于重大舆情、政府监管措施等需提交理事长办公会议。</w:t>
      </w:r>
    </w:p>
    <w:p w14:paraId="6F4C6334">
      <w:pPr>
        <w:keepNext w:val="0"/>
        <w:keepLines w:val="0"/>
        <w:pageBreakBefore w:val="0"/>
        <w:kinsoku/>
        <w:wordWrap/>
        <w:overflowPunct/>
        <w:topLinePunct w:val="0"/>
        <w:autoSpaceDE/>
        <w:autoSpaceDN/>
        <w:bidi w:val="0"/>
        <w:adjustRightInd/>
        <w:snapToGrid/>
        <w:spacing w:line="560" w:lineRule="exact"/>
        <w:jc w:val="left"/>
        <w:outlineLvl w:val="0"/>
        <w:rPr>
          <w:rFonts w:hint="eastAsia" w:ascii="仿宋" w:hAnsi="仿宋" w:eastAsia="仿宋" w:cs="仿宋"/>
          <w:color w:val="000000"/>
          <w:sz w:val="32"/>
          <w:szCs w:val="32"/>
          <w:lang w:val="en-US" w:eastAsia="zh-CN"/>
        </w:rPr>
      </w:pPr>
    </w:p>
    <w:p w14:paraId="3397267F">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第六章  捐赠信息公示与反馈</w:t>
      </w:r>
    </w:p>
    <w:p w14:paraId="60B2454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第二十六条</w:t>
      </w:r>
      <w:r>
        <w:rPr>
          <w:rFonts w:hint="eastAsia" w:ascii="仿宋" w:hAnsi="仿宋" w:eastAsia="仿宋" w:cs="仿宋"/>
          <w:color w:val="000000"/>
          <w:sz w:val="32"/>
          <w:szCs w:val="32"/>
          <w:lang w:val="en-US" w:eastAsia="zh-CN"/>
        </w:rPr>
        <w:t xml:space="preserve">  本基金会严格按照《慈善法》的相关规定对捐赠信息进行公开和披露。</w:t>
      </w:r>
    </w:p>
    <w:p w14:paraId="43B9CF2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第二十七条</w:t>
      </w:r>
      <w:r>
        <w:rPr>
          <w:rFonts w:hint="eastAsia" w:ascii="仿宋" w:hAnsi="仿宋" w:eastAsia="仿宋" w:cs="仿宋"/>
          <w:color w:val="000000"/>
          <w:sz w:val="32"/>
          <w:szCs w:val="32"/>
          <w:lang w:val="en-US" w:eastAsia="zh-CN"/>
        </w:rPr>
        <w:t xml:space="preserve">  公示和披露信息由理事长授权或审批。</w:t>
      </w:r>
    </w:p>
    <w:p w14:paraId="788FB71D">
      <w:pPr>
        <w:keepNext w:val="0"/>
        <w:keepLines w:val="0"/>
        <w:pageBreakBefore w:val="0"/>
        <w:kinsoku/>
        <w:wordWrap/>
        <w:overflowPunct/>
        <w:topLinePunct w:val="0"/>
        <w:autoSpaceDE/>
        <w:autoSpaceDN/>
        <w:bidi w:val="0"/>
        <w:adjustRightInd/>
        <w:snapToGrid/>
        <w:spacing w:line="560" w:lineRule="exact"/>
        <w:jc w:val="left"/>
        <w:outlineLvl w:val="0"/>
        <w:rPr>
          <w:rFonts w:hint="eastAsia" w:ascii="仿宋" w:hAnsi="仿宋" w:eastAsia="仿宋" w:cs="仿宋"/>
          <w:color w:val="000000"/>
          <w:sz w:val="32"/>
          <w:szCs w:val="32"/>
          <w:lang w:val="en-US" w:eastAsia="zh-CN"/>
        </w:rPr>
      </w:pPr>
    </w:p>
    <w:p w14:paraId="0830CC39">
      <w:pPr>
        <w:keepNext w:val="0"/>
        <w:keepLines w:val="0"/>
        <w:pageBreakBefore w:val="0"/>
        <w:kinsoku/>
        <w:wordWrap/>
        <w:overflowPunct/>
        <w:topLinePunct w:val="0"/>
        <w:autoSpaceDE/>
        <w:autoSpaceDN/>
        <w:bidi w:val="0"/>
        <w:adjustRightInd/>
        <w:snapToGrid/>
        <w:spacing w:line="560" w:lineRule="exact"/>
        <w:jc w:val="center"/>
        <w:outlineLvl w:val="0"/>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第七章  附则</w:t>
      </w:r>
    </w:p>
    <w:p w14:paraId="3E5C7A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第二十八条</w:t>
      </w:r>
      <w:r>
        <w:rPr>
          <w:rFonts w:hint="eastAsia" w:ascii="仿宋" w:hAnsi="仿宋" w:eastAsia="仿宋" w:cs="仿宋"/>
          <w:color w:val="000000"/>
          <w:sz w:val="32"/>
          <w:szCs w:val="32"/>
          <w:lang w:val="en-US" w:eastAsia="zh-CN"/>
        </w:rPr>
        <w:t xml:space="preserve">  本办法由宁波鄞州银行公益基金会制定、修改、解释，与国家相关规定冲突的，按国家相关规定执行。</w:t>
      </w:r>
    </w:p>
    <w:p w14:paraId="1A1B81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r>
        <w:rPr>
          <w:rFonts w:hint="eastAsia" w:ascii="楷体" w:hAnsi="楷体" w:eastAsia="楷体" w:cs="楷体"/>
          <w:color w:val="000000"/>
          <w:sz w:val="32"/>
          <w:szCs w:val="32"/>
          <w:lang w:val="en-US" w:eastAsia="zh-CN"/>
        </w:rPr>
        <w:t>第二十九条</w:t>
      </w:r>
      <w:r>
        <w:rPr>
          <w:rFonts w:hint="eastAsia" w:ascii="仿宋" w:hAnsi="仿宋" w:eastAsia="仿宋" w:cs="仿宋"/>
          <w:color w:val="000000"/>
          <w:sz w:val="32"/>
          <w:szCs w:val="32"/>
          <w:lang w:val="en-US" w:eastAsia="zh-CN"/>
        </w:rPr>
        <w:t xml:space="preserve">  本制度自理事会审议通过后，自颁布之日起施行。</w:t>
      </w:r>
    </w:p>
    <w:p w14:paraId="643DE2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eastAsia" w:ascii="仿宋" w:hAnsi="仿宋" w:eastAsia="仿宋" w:cs="仿宋"/>
          <w:color w:val="000000"/>
          <w:sz w:val="32"/>
          <w:szCs w:val="32"/>
          <w:lang w:val="en-US" w:eastAsia="zh-CN"/>
        </w:rPr>
      </w:pPr>
    </w:p>
    <w:p w14:paraId="2F658E36">
      <w:pPr>
        <w:keepNext w:val="0"/>
        <w:keepLines w:val="0"/>
        <w:pageBreakBefore w:val="0"/>
        <w:kinsoku/>
        <w:wordWrap w:val="0"/>
        <w:overflowPunct/>
        <w:topLinePunct w:val="0"/>
        <w:autoSpaceDE/>
        <w:autoSpaceDN/>
        <w:bidi w:val="0"/>
        <w:adjustRightInd/>
        <w:snapToGrid/>
        <w:spacing w:line="560" w:lineRule="exact"/>
        <w:jc w:val="right"/>
        <w:outlineLvl w:val="0"/>
        <w:rPr>
          <w:rFonts w:hint="default"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宁波鄞州银行公益基金会  </w:t>
      </w:r>
    </w:p>
    <w:p w14:paraId="795F029E">
      <w:pPr>
        <w:keepNext w:val="0"/>
        <w:keepLines w:val="0"/>
        <w:pageBreakBefore w:val="0"/>
        <w:kinsoku/>
        <w:wordWrap w:val="0"/>
        <w:overflowPunct/>
        <w:topLinePunct w:val="0"/>
        <w:autoSpaceDE/>
        <w:autoSpaceDN/>
        <w:bidi w:val="0"/>
        <w:adjustRightInd/>
        <w:snapToGrid/>
        <w:spacing w:line="560" w:lineRule="exact"/>
        <w:jc w:val="right"/>
        <w:outlineLvl w:val="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二〇二六年一月二十三日  </w:t>
      </w:r>
    </w:p>
    <w:p w14:paraId="7568F34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0F06CC"/>
    <w:rsid w:val="600F06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2026-08-05T06:11:00Z</dcterms:created>
  <dc:creator>WPS_1746685644</dc:creator>
  <cp:lastModifiedBy>WPS_1746685644</cp:lastModifiedBy>
  <dcterms:modified xsi:type="dcterms:W3CDTF">2026-08-05T06:11:57Z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FB9B4207996F48939315F6B07A7EE72A_11</vt:lpwstr>
  </property>
  <property fmtid="{D5CDD505-2E9C-101B-9397-08002B2CF9AE}" pid="4" name="KSOTemplateDocerSaveRecord">
    <vt:lpwstr>eyJoZGlkIjoiMjc5YTc4NzdjZjBmNjNiNzViNWM2MTBkODZjM2RkZGUiLCJ1c2VySWQiOiIxNjk4Mjc1NTU1In0=</vt:lpwstr>
  </property>
</Properties>
</file>