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B5034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pacing w:val="-20"/>
          <w:sz w:val="44"/>
          <w:szCs w:val="44"/>
          <w:lang w:val="en-US" w:eastAsia="zh-CN"/>
        </w:rPr>
      </w:pPr>
      <w:r>
        <w:rPr>
          <w:rFonts w:hint="eastAsia" w:ascii="方正小标宋简体" w:hAnsi="黑体" w:eastAsia="方正小标宋简体" w:cs="Times New Roman"/>
          <w:color w:val="000000"/>
          <w:spacing w:val="-20"/>
          <w:sz w:val="44"/>
          <w:szCs w:val="44"/>
          <w:lang w:val="en-US" w:eastAsia="zh-CN"/>
        </w:rPr>
        <w:t>宁波鄞州银行公益基金会</w:t>
      </w:r>
      <w:r>
        <w:rPr>
          <w:rFonts w:hint="eastAsia" w:ascii="方正小标宋简体" w:hAnsi="方正小标宋简体" w:eastAsia="方正小标宋简体" w:cs="方正小标宋简体"/>
          <w:kern w:val="0"/>
          <w:sz w:val="44"/>
          <w:szCs w:val="44"/>
          <w:lang w:val="en-US" w:eastAsia="zh-CN"/>
        </w:rPr>
        <w:t>资产管理办法</w:t>
      </w:r>
      <w:r>
        <w:rPr>
          <w:rFonts w:hint="eastAsia" w:ascii="方正小标宋简体" w:hAnsi="黑体" w:eastAsia="方正小标宋简体" w:cs="Times New Roman"/>
          <w:color w:val="000000"/>
          <w:spacing w:val="-20"/>
          <w:sz w:val="44"/>
          <w:szCs w:val="44"/>
          <w:lang w:val="en-US" w:eastAsia="zh-CN"/>
        </w:rPr>
        <w:t xml:space="preserve"> </w:t>
      </w:r>
    </w:p>
    <w:p w14:paraId="5DDB73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修订稿</w:t>
      </w:r>
      <w:r>
        <w:rPr>
          <w:rFonts w:hint="eastAsia" w:ascii="仿宋" w:hAnsi="仿宋" w:eastAsia="仿宋" w:cs="仿宋"/>
          <w:sz w:val="32"/>
          <w:szCs w:val="32"/>
        </w:rPr>
        <w:t>）</w:t>
      </w:r>
    </w:p>
    <w:p w14:paraId="6D46CA2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0E0C7F9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第一章 总则</w:t>
      </w:r>
    </w:p>
    <w:p w14:paraId="32DADDE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第一条</w:t>
      </w:r>
      <w:r>
        <w:rPr>
          <w:rFonts w:hint="eastAsia" w:ascii="仿宋" w:hAnsi="仿宋" w:eastAsia="仿宋" w:cs="仿宋"/>
          <w:sz w:val="32"/>
          <w:szCs w:val="32"/>
          <w:lang w:val="en-US" w:eastAsia="zh-CN"/>
        </w:rPr>
        <w:t xml:space="preserve"> 为了加强宁波鄞州银行公益基金会（下称：基金会）资产管理，最大限度地发挥资产的效益，防止资产的闲置和损失浪费，根据《中华人民共和国慈善法》《民间非营利组织会计制度》相关条款和基金会的《财务管理制度》，并结合基金会具体情况，制定本办法。</w:t>
      </w:r>
    </w:p>
    <w:p w14:paraId="2324D87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第二条</w:t>
      </w:r>
      <w:r>
        <w:rPr>
          <w:rFonts w:hint="eastAsia" w:ascii="仿宋" w:hAnsi="仿宋" w:eastAsia="仿宋" w:cs="仿宋"/>
          <w:sz w:val="32"/>
          <w:szCs w:val="32"/>
          <w:lang w:val="en-US" w:eastAsia="zh-CN"/>
        </w:rPr>
        <w:t xml:space="preserve"> 本办法所指资产是指过去的交易或者事项形成并由平台拥有或者控制的资源，该资源预期会给平台带来经济利益或者服务潜力。资产应当按其流动性分为流动资产、长期投资、固定资产、无形资产和受托代理资产等。</w:t>
      </w:r>
    </w:p>
    <w:p w14:paraId="2D7B888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第三条</w:t>
      </w:r>
      <w:r>
        <w:rPr>
          <w:rFonts w:hint="eastAsia" w:ascii="仿宋" w:hAnsi="仿宋" w:eastAsia="仿宋" w:cs="仿宋"/>
          <w:sz w:val="32"/>
          <w:szCs w:val="32"/>
          <w:lang w:val="en-US" w:eastAsia="zh-CN"/>
        </w:rPr>
        <w:t xml:space="preserve"> 基金会资产涉及金额部分由财务部负责管理，按照《民间非营利组织会计制度》规定进行记账。</w:t>
      </w:r>
    </w:p>
    <w:p w14:paraId="6750150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第四条</w:t>
      </w:r>
      <w:r>
        <w:rPr>
          <w:rFonts w:hint="eastAsia" w:ascii="仿宋" w:hAnsi="仿宋" w:eastAsia="仿宋" w:cs="仿宋"/>
          <w:sz w:val="32"/>
          <w:szCs w:val="32"/>
          <w:lang w:val="en-US" w:eastAsia="zh-CN"/>
        </w:rPr>
        <w:t>基金会资产涉及实物部分由综合部负责管理，基金会应建立资产登记管理系统，对实物资产进行入库、出库管理。实物资产主要是指基金会的固定资产及低值易耗品。</w:t>
      </w:r>
    </w:p>
    <w:p w14:paraId="3DECD23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第五条</w:t>
      </w:r>
      <w:r>
        <w:rPr>
          <w:rFonts w:hint="eastAsia" w:ascii="仿宋" w:hAnsi="仿宋" w:eastAsia="仿宋" w:cs="仿宋"/>
          <w:sz w:val="32"/>
          <w:szCs w:val="32"/>
          <w:lang w:val="en-US" w:eastAsia="zh-CN"/>
        </w:rPr>
        <w:t xml:space="preserve"> 实物资产主要是指基金会的在建工程、固定资产及低值易耗品。</w:t>
      </w:r>
    </w:p>
    <w:p w14:paraId="3284ADD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在建工程指固定资产的新建、改建、扩建，或技术改造、设备更新和大修理工程等尚未完工的工程支出。</w:t>
      </w:r>
    </w:p>
    <w:p w14:paraId="2CD29AB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固定资产是指为行政管理、提供服务，或者出租目的而持有的，预计使用期限超过一年且单位价值5000元以上的有形资产。</w:t>
      </w:r>
    </w:p>
    <w:p w14:paraId="2D72C5D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低值易耗品是指单项价值在规定限额以下并且使用期限不满一年，能多次使用而基本保持其实物形态的劳动资料。平台内各机构采用一次摊销法对低值易耗品进行摊销。</w:t>
      </w:r>
    </w:p>
    <w:p w14:paraId="4749F5C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第六条</w:t>
      </w:r>
      <w:r>
        <w:rPr>
          <w:rFonts w:hint="eastAsia" w:ascii="仿宋" w:hAnsi="仿宋" w:eastAsia="仿宋" w:cs="仿宋"/>
          <w:sz w:val="32"/>
          <w:szCs w:val="32"/>
          <w:lang w:val="en-US" w:eastAsia="zh-CN"/>
        </w:rPr>
        <w:t xml:space="preserve"> 固定资产分为以下五类：</w:t>
      </w:r>
    </w:p>
    <w:p w14:paraId="22A2C42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（一）房屋及建筑物。</w:t>
      </w:r>
    </w:p>
    <w:p w14:paraId="0E41F78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（二）办公设备。指专用设备、电器设备、通信设备、电子设备、家具用具等。</w:t>
      </w:r>
    </w:p>
    <w:p w14:paraId="6BBF856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（三）交通运输工具。  </w:t>
      </w:r>
    </w:p>
    <w:p w14:paraId="757B075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（四）文物文化资产，指用于展览、教育或研究等目的的历史文物、艺术品以及其他具有文化或者历史价值并作长期或者永久保存的典藏。</w:t>
      </w:r>
    </w:p>
    <w:p w14:paraId="556B790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（五）其它固定资产。指未能包括在上述各项内的固定资产。    </w:t>
      </w:r>
    </w:p>
    <w:p w14:paraId="449E87E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第七条</w:t>
      </w:r>
      <w:r>
        <w:rPr>
          <w:rFonts w:hint="eastAsia" w:ascii="仿宋" w:hAnsi="仿宋" w:eastAsia="仿宋" w:cs="仿宋"/>
          <w:sz w:val="32"/>
          <w:szCs w:val="32"/>
          <w:lang w:val="en-US" w:eastAsia="zh-CN"/>
        </w:rPr>
        <w:t xml:space="preserve"> 无形资产是指基金会拥有或者控制的没有实物形态的可辨认非货币资产，包括专利权、非专利技术、商标权、著作权、特许权、土地使用权等。</w:t>
      </w:r>
    </w:p>
    <w:p w14:paraId="240D3A9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（一）专利权：依照《中华人民共和国专利法》的规定，界定基金会为专利权人的，在法定期限内为基金会所独占和专有的各种发明创造（职务发明）；</w:t>
      </w:r>
    </w:p>
    <w:p w14:paraId="6523081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（二）商标权：以基金会名义申请注册的，在一定期限内在指定的商品上使用特定的名称、图案、标记的权力；</w:t>
      </w:r>
    </w:p>
    <w:p w14:paraId="2E43135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著作权：由基金会主持，代表机构意志，并由基金会承担责任的文学艺术创作、科学著作、音像制品、图纸、模型、计算机软件等，依法界定基金会为著作权人，基金会享有出版、发行等方面的专有权力，为著作权，亦称版权。</w:t>
      </w:r>
    </w:p>
    <w:p w14:paraId="431C297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（四）专有技术：即非专利技术，或称技术诀窍，是指基金会作为发明人，由基金会控制的、不公开的、具有使用价值的先进技术、科研成果、资料、技能、知识等。</w:t>
      </w:r>
    </w:p>
    <w:p w14:paraId="7945426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（五）土地使用权：基金会依法、有偿取得的土地使用权，属于基金会的无形资产；</w:t>
      </w:r>
    </w:p>
    <w:p w14:paraId="07456E2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（六）特许经营权：基金会在某一地区经营或销售某种特定商品的权力，或是接受另一单位有偿使用其商标、专有技术的权力。</w:t>
      </w:r>
    </w:p>
    <w:p w14:paraId="0A14D6E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第八条</w:t>
      </w:r>
      <w:r>
        <w:rPr>
          <w:rFonts w:hint="eastAsia" w:ascii="仿宋" w:hAnsi="仿宋" w:eastAsia="仿宋" w:cs="仿宋"/>
          <w:sz w:val="32"/>
          <w:szCs w:val="32"/>
          <w:lang w:val="en-US" w:eastAsia="zh-CN"/>
        </w:rPr>
        <w:t xml:space="preserve"> 本办法以下章节仅对实物资产（固定资产）的管理、配置、维修、处置进行了详细的规定，低值易耗品参照此办法管理。</w:t>
      </w:r>
    </w:p>
    <w:p w14:paraId="410741C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p w14:paraId="23AF5B1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第二章 固定资产管理体制</w:t>
      </w:r>
    </w:p>
    <w:p w14:paraId="5507497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第九条</w:t>
      </w:r>
      <w:r>
        <w:rPr>
          <w:rFonts w:hint="eastAsia" w:ascii="仿宋" w:hAnsi="仿宋" w:eastAsia="仿宋" w:cs="仿宋"/>
          <w:sz w:val="32"/>
          <w:szCs w:val="32"/>
          <w:lang w:val="en-US" w:eastAsia="zh-CN"/>
        </w:rPr>
        <w:t xml:space="preserve"> 固定资产管理要贯彻统一领导、归口管理的原则。</w:t>
      </w:r>
    </w:p>
    <w:p w14:paraId="582064F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（一）综合部负责验收入库、登记保管、领用发出、维修保养等工作，并负责建立和维护基金会固定资产管理系统。</w:t>
      </w:r>
    </w:p>
    <w:p w14:paraId="5D33B23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（二）财务部负责固定资产的价值分类核算，并定期组织对固定资产实物进行清查、盘点。</w:t>
      </w:r>
    </w:p>
    <w:p w14:paraId="4EFB406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（三）使用部门负责固定资产的合理、有效使用和日常维护管理。</w:t>
      </w:r>
    </w:p>
    <w:p w14:paraId="02EC2E7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第十条</w:t>
      </w:r>
      <w:r>
        <w:rPr>
          <w:rFonts w:hint="eastAsia" w:ascii="仿宋" w:hAnsi="仿宋" w:eastAsia="仿宋" w:cs="仿宋"/>
          <w:sz w:val="32"/>
          <w:szCs w:val="32"/>
          <w:lang w:val="en-US" w:eastAsia="zh-CN"/>
        </w:rPr>
        <w:t xml:space="preserve"> 综合部应设有专人承担固定资产的管理工作，并对固定资产的安全完整负有责任。固定资产管理人员应相对稳定，工作调动时必须办清交接手续。</w:t>
      </w:r>
    </w:p>
    <w:p w14:paraId="60BCEA0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第十一条</w:t>
      </w:r>
      <w:r>
        <w:rPr>
          <w:rFonts w:hint="eastAsia" w:ascii="仿宋" w:hAnsi="仿宋" w:eastAsia="仿宋" w:cs="仿宋"/>
          <w:sz w:val="32"/>
          <w:szCs w:val="32"/>
          <w:lang w:val="en-US" w:eastAsia="zh-CN"/>
        </w:rPr>
        <w:t xml:space="preserve"> 综合部必须对专用设备的管理和操作人员进行技术培训，保证专用设备的正常使用。</w:t>
      </w:r>
    </w:p>
    <w:p w14:paraId="39EA8F5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第十二条</w:t>
      </w:r>
      <w:r>
        <w:rPr>
          <w:rFonts w:hint="eastAsia" w:ascii="仿宋" w:hAnsi="仿宋" w:eastAsia="仿宋" w:cs="仿宋"/>
          <w:sz w:val="32"/>
          <w:szCs w:val="32"/>
          <w:lang w:val="en-US" w:eastAsia="zh-CN"/>
        </w:rPr>
        <w:t xml:space="preserve"> 发生固定资产被窃、遗失、损失时，使用部门负责人和管理人员需说明原因，如属责任事故须按固定资产现值予以赔偿。</w:t>
      </w:r>
    </w:p>
    <w:p w14:paraId="3BA09CB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第十三条</w:t>
      </w:r>
      <w:r>
        <w:rPr>
          <w:rFonts w:hint="eastAsia" w:ascii="仿宋" w:hAnsi="仿宋" w:eastAsia="仿宋" w:cs="仿宋"/>
          <w:sz w:val="32"/>
          <w:szCs w:val="32"/>
          <w:lang w:val="en-US" w:eastAsia="zh-CN"/>
        </w:rPr>
        <w:t xml:space="preserve"> 固定资产核算按照《民间非营利组织会计制度》的规定执行。</w:t>
      </w:r>
    </w:p>
    <w:p w14:paraId="782064D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5122366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第三章 固定资产配置</w:t>
      </w:r>
    </w:p>
    <w:p w14:paraId="50620FA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第十四条</w:t>
      </w:r>
      <w:r>
        <w:rPr>
          <w:rFonts w:hint="eastAsia" w:ascii="仿宋" w:hAnsi="仿宋" w:eastAsia="仿宋" w:cs="仿宋"/>
          <w:sz w:val="32"/>
          <w:szCs w:val="32"/>
          <w:lang w:val="en-US" w:eastAsia="zh-CN"/>
        </w:rPr>
        <w:t xml:space="preserve"> 固定资产配置方式主要包括购置、内部调剂、受赠、租赁等。凡能通过内部调剂方式解决的，原则上不得购置。</w:t>
      </w:r>
    </w:p>
    <w:p w14:paraId="57D3DC2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第十五条 </w:t>
      </w:r>
      <w:r>
        <w:rPr>
          <w:rFonts w:hint="eastAsia" w:ascii="仿宋" w:hAnsi="仿宋" w:eastAsia="仿宋" w:cs="仿宋"/>
          <w:sz w:val="32"/>
          <w:szCs w:val="32"/>
          <w:lang w:val="en-US" w:eastAsia="zh-CN"/>
        </w:rPr>
        <w:t>固定资产购置</w:t>
      </w:r>
    </w:p>
    <w:p w14:paraId="5559DBB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（一）固定资产由综合部统一购置。对于一般固定资产购置的申请审批流程详见《宁波鄞州银行公益基金会采购管理办法》。 </w:t>
      </w:r>
    </w:p>
    <w:p w14:paraId="5618A35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（二）固定资产购置，应先由综合部核对，确定无此类（闲置）物品可调剂使用，经程序审批后才可购置。</w:t>
      </w:r>
    </w:p>
    <w:p w14:paraId="6C9CFA2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固定资产验收：固定资产购置后，由综合部统一验收，属于技术专用设备的还应联同供货方共同验收。验收时应当根据采购合同协议、供应商发货单（如有）、发票、《物资采购》申请等对所购固定资产的品种、规格、数量、质量、技术要求及其他内容进行验收。</w:t>
      </w:r>
    </w:p>
    <w:p w14:paraId="06F4D47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（四）登记入库与付款申请：验收合格后，由综合部负责入库登记,并在OA系统提交付款申请。</w:t>
      </w:r>
    </w:p>
    <w:p w14:paraId="6757EE0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固定资产日常管理：综合部应及时指定专人负责生成固定资产编号并贴于固定资产上，同时登记《固定资产管理清单》（一式二份，财务部、综合部各一份）和《固定资产台账》；财务部根据审批流程通过后的相关单据进行款项支付。</w:t>
      </w:r>
    </w:p>
    <w:p w14:paraId="3A5A746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第十六条</w:t>
      </w:r>
      <w:r>
        <w:rPr>
          <w:rFonts w:hint="eastAsia" w:ascii="仿宋" w:hAnsi="仿宋" w:eastAsia="仿宋" w:cs="仿宋"/>
          <w:sz w:val="32"/>
          <w:szCs w:val="32"/>
          <w:lang w:val="en-US" w:eastAsia="zh-CN"/>
        </w:rPr>
        <w:t xml:space="preserve"> 固定资产领用</w:t>
      </w:r>
    </w:p>
    <w:p w14:paraId="446BACE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使用部门在OA系统中填写《固定资产领用单》并报综合部，按程序审批同意后，综合部办理领用、登记手续，并报财务部。新增固定资产未办理固定资产领用及登记手续，不得直接使用。</w:t>
      </w:r>
    </w:p>
    <w:p w14:paraId="0F7A7BF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第十七条</w:t>
      </w:r>
      <w:r>
        <w:rPr>
          <w:rFonts w:hint="eastAsia" w:ascii="仿宋" w:hAnsi="仿宋" w:eastAsia="仿宋" w:cs="仿宋"/>
          <w:sz w:val="32"/>
          <w:szCs w:val="32"/>
          <w:lang w:val="en-US" w:eastAsia="zh-CN"/>
        </w:rPr>
        <w:t xml:space="preserve"> 固定资产内部调剂</w:t>
      </w:r>
    </w:p>
    <w:p w14:paraId="2DD1B8D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调出部门在OA系统中填写《固定资产调剂（转让）申请单》并报综合部，按程序审批同意、调入部门确认后，综合部办理调账手续并通知财务部。</w:t>
      </w:r>
    </w:p>
    <w:p w14:paraId="7D9E4C8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第十八条</w:t>
      </w:r>
      <w:r>
        <w:rPr>
          <w:rFonts w:hint="eastAsia" w:ascii="仿宋" w:hAnsi="仿宋" w:eastAsia="仿宋" w:cs="仿宋"/>
          <w:sz w:val="32"/>
          <w:szCs w:val="32"/>
          <w:lang w:val="en-US" w:eastAsia="zh-CN"/>
        </w:rPr>
        <w:t xml:space="preserve"> 固定资产受赠</w:t>
      </w:r>
    </w:p>
    <w:p w14:paraId="3FFC5CC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根据综合部提供的捐赠合同、发货单、计价凭据等资料，办理验收入库手续。固定资产受赠管理、入账等财务部按照《民间非营利组织会计制度》规定进行。</w:t>
      </w:r>
    </w:p>
    <w:p w14:paraId="0646D71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第十九条</w:t>
      </w:r>
      <w:r>
        <w:rPr>
          <w:rFonts w:hint="eastAsia" w:ascii="仿宋" w:hAnsi="仿宋" w:eastAsia="仿宋" w:cs="仿宋"/>
          <w:sz w:val="32"/>
          <w:szCs w:val="32"/>
          <w:lang w:val="en-US" w:eastAsia="zh-CN"/>
        </w:rPr>
        <w:t xml:space="preserve"> 对租赁使用、借用、代管的固定资产应设立登记簿记录备查。</w:t>
      </w:r>
    </w:p>
    <w:p w14:paraId="42F7F51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p w14:paraId="4F66966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 固定资产处置</w:t>
      </w:r>
    </w:p>
    <w:p w14:paraId="248556B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第二十条</w:t>
      </w:r>
      <w:r>
        <w:rPr>
          <w:rFonts w:hint="eastAsia" w:ascii="仿宋" w:hAnsi="仿宋" w:eastAsia="仿宋" w:cs="仿宋"/>
          <w:sz w:val="32"/>
          <w:szCs w:val="32"/>
          <w:lang w:val="en-US" w:eastAsia="zh-CN"/>
        </w:rPr>
        <w:t xml:space="preserve"> 符合下列情形之一的固定资产，应当按本办法规定进行处置：</w:t>
      </w:r>
    </w:p>
    <w:p w14:paraId="085AB3D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（一）闲置的；</w:t>
      </w:r>
    </w:p>
    <w:p w14:paraId="48DBB6A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（二）达到报废期限或因技术原因不能安全有效使用的；</w:t>
      </w:r>
    </w:p>
    <w:p w14:paraId="16CB985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（三）盘亏及非正常损失的；</w:t>
      </w:r>
    </w:p>
    <w:p w14:paraId="7E6B902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（四）其他依照国家规定需要处置的。</w:t>
      </w:r>
    </w:p>
    <w:p w14:paraId="463301C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第二十一条</w:t>
      </w:r>
      <w:r>
        <w:rPr>
          <w:rFonts w:hint="eastAsia" w:ascii="仿宋" w:hAnsi="仿宋" w:eastAsia="仿宋" w:cs="仿宋"/>
          <w:sz w:val="32"/>
          <w:szCs w:val="32"/>
          <w:lang w:val="en-US" w:eastAsia="zh-CN"/>
        </w:rPr>
        <w:t xml:space="preserve"> 固定资产处置方式包括调剂、转让、报废或报损等。</w:t>
      </w:r>
    </w:p>
    <w:p w14:paraId="44EE844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第二十二条</w:t>
      </w:r>
      <w:r>
        <w:rPr>
          <w:rFonts w:hint="eastAsia" w:ascii="仿宋" w:hAnsi="仿宋" w:eastAsia="仿宋" w:cs="仿宋"/>
          <w:sz w:val="32"/>
          <w:szCs w:val="32"/>
          <w:lang w:val="en-US" w:eastAsia="zh-CN"/>
        </w:rPr>
        <w:t xml:space="preserve"> 固定资产转让</w:t>
      </w:r>
    </w:p>
    <w:p w14:paraId="7858A33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因功能调整或其他原因需要处置固定资产，由综合部在OA系统中填写《固定资产调剂（转让）申请单》，按程序审批同意，综合部办理调出手续。转让方式实行有偿转让。</w:t>
      </w:r>
    </w:p>
    <w:p w14:paraId="21CE7B0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第二十三条</w:t>
      </w:r>
      <w:r>
        <w:rPr>
          <w:rFonts w:hint="eastAsia" w:ascii="仿宋" w:hAnsi="仿宋" w:eastAsia="仿宋" w:cs="仿宋"/>
          <w:sz w:val="32"/>
          <w:szCs w:val="32"/>
          <w:lang w:val="en-US" w:eastAsia="zh-CN"/>
        </w:rPr>
        <w:t xml:space="preserve"> 固定资产报废、报损、报失</w:t>
      </w:r>
    </w:p>
    <w:p w14:paraId="35564DC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由使用部门向综合部提出，由综合部评估后在填写《固定资产报废（报损）申请单》，审批同意后，办理有关注销手续并抄送财务部。对非正常损失的要查明原因、追究责任。</w:t>
      </w:r>
    </w:p>
    <w:p w14:paraId="52A5F29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第二十四条</w:t>
      </w:r>
      <w:r>
        <w:rPr>
          <w:rFonts w:hint="eastAsia" w:ascii="仿宋" w:hAnsi="仿宋" w:eastAsia="仿宋" w:cs="仿宋"/>
          <w:sz w:val="32"/>
          <w:szCs w:val="32"/>
          <w:lang w:val="en-US" w:eastAsia="zh-CN"/>
        </w:rPr>
        <w:t xml:space="preserve"> 固定资产不对外出借。</w:t>
      </w:r>
    </w:p>
    <w:p w14:paraId="3ADF8EC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第二十五条</w:t>
      </w:r>
      <w:r>
        <w:rPr>
          <w:rFonts w:hint="eastAsia" w:ascii="仿宋" w:hAnsi="仿宋" w:eastAsia="仿宋" w:cs="仿宋"/>
          <w:sz w:val="32"/>
          <w:szCs w:val="32"/>
          <w:lang w:val="en-US" w:eastAsia="zh-CN"/>
        </w:rPr>
        <w:t xml:space="preserve"> 固定资产盘点和清查</w:t>
      </w:r>
    </w:p>
    <w:p w14:paraId="68EA375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综合部和财务部应严格执行固定资产盘点和清查制度，使账实、账卡、账账保持一致。每年应对账一次，每一年对单位的固定资产进行一次全面清查盘点，查明固定资产的实有数与账面结存数是否相符，固定资产的保管、使用、维修等情况是否正常。对清查盘点中发现的问题，应查明原因，由使用部门说明情况，编制《固定资产盘盈盘亏表》经程序批准后，调整固定资产资产、资金账目。</w:t>
      </w:r>
    </w:p>
    <w:p w14:paraId="5AB9346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第二十六条</w:t>
      </w:r>
      <w:r>
        <w:rPr>
          <w:rFonts w:hint="eastAsia" w:ascii="仿宋" w:hAnsi="仿宋" w:eastAsia="仿宋" w:cs="仿宋"/>
          <w:sz w:val="32"/>
          <w:szCs w:val="32"/>
          <w:lang w:val="en-US" w:eastAsia="zh-CN"/>
        </w:rPr>
        <w:t xml:space="preserve"> 固定资产处置收入应交财务部做财务处理。</w:t>
      </w:r>
    </w:p>
    <w:p w14:paraId="71986C2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p w14:paraId="0A1F18A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第五章 固定资产维修</w:t>
      </w:r>
    </w:p>
    <w:p w14:paraId="0BBF2A7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第二十七条</w:t>
      </w:r>
      <w:r>
        <w:rPr>
          <w:rFonts w:hint="eastAsia" w:ascii="仿宋" w:hAnsi="仿宋" w:eastAsia="仿宋" w:cs="仿宋"/>
          <w:sz w:val="32"/>
          <w:szCs w:val="32"/>
          <w:lang w:val="en-US" w:eastAsia="zh-CN"/>
        </w:rPr>
        <w:t xml:space="preserve"> 固定资产的日常维修由使用部门报综合部，按程序审批同意，办理报销。</w:t>
      </w:r>
    </w:p>
    <w:p w14:paraId="7762A7D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第二十八条</w:t>
      </w:r>
      <w:r>
        <w:rPr>
          <w:rFonts w:hint="eastAsia" w:ascii="仿宋" w:hAnsi="仿宋" w:eastAsia="仿宋" w:cs="仿宋"/>
          <w:sz w:val="32"/>
          <w:szCs w:val="32"/>
          <w:lang w:val="en-US" w:eastAsia="zh-CN"/>
        </w:rPr>
        <w:t xml:space="preserve"> 固定资产的大修（含技术改造）由综合部和财务部共同组织评估，提出大修方案，按程序审批同意后予以实施。</w:t>
      </w:r>
    </w:p>
    <w:p w14:paraId="5C6CCF9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p w14:paraId="59B36C2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第六章 无形资产管理体制</w:t>
      </w:r>
    </w:p>
    <w:p w14:paraId="141FB58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第二十九条</w:t>
      </w:r>
      <w:r>
        <w:rPr>
          <w:rFonts w:hint="eastAsia" w:ascii="仿宋" w:hAnsi="仿宋" w:eastAsia="仿宋" w:cs="仿宋"/>
          <w:sz w:val="32"/>
          <w:szCs w:val="32"/>
          <w:lang w:val="en-US" w:eastAsia="zh-CN"/>
        </w:rPr>
        <w:t xml:space="preserve"> 无形资产作为基金会资产的重要组成部分，实行“统一领导、归口管理、分级负责、责任到人”的管理体制，坚持资产管理和财务管理相结合的原则。</w:t>
      </w:r>
    </w:p>
    <w:p w14:paraId="7E21594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第三十条</w:t>
      </w:r>
      <w:r>
        <w:rPr>
          <w:rFonts w:hint="eastAsia" w:ascii="仿宋" w:hAnsi="仿宋" w:eastAsia="仿宋" w:cs="仿宋"/>
          <w:sz w:val="32"/>
          <w:szCs w:val="32"/>
          <w:lang w:val="en-US" w:eastAsia="zh-CN"/>
        </w:rPr>
        <w:t xml:space="preserve"> 综合部为无形资产的主管部门，对无形资产实施统一监督管理。主要职责有：</w:t>
      </w:r>
    </w:p>
    <w:p w14:paraId="34F9BA6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（一）负责登记无形资产明细台账；</w:t>
      </w:r>
    </w:p>
    <w:p w14:paraId="217A3F9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（二）负责组织无形资产的清查、统计等工作；</w:t>
      </w:r>
    </w:p>
    <w:p w14:paraId="59C6EE6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（三）负责办理无形资产的增加、调剂、处置等报批手续；</w:t>
      </w:r>
    </w:p>
    <w:p w14:paraId="117F492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（四）检查、指导使用部门的无形资产的管理工作。</w:t>
      </w:r>
    </w:p>
    <w:p w14:paraId="7A26CBA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第七章 无形资产配置</w:t>
      </w:r>
    </w:p>
    <w:p w14:paraId="17D5639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第三十一条</w:t>
      </w:r>
      <w:r>
        <w:rPr>
          <w:rFonts w:hint="eastAsia" w:ascii="仿宋" w:hAnsi="仿宋" w:eastAsia="仿宋" w:cs="仿宋"/>
          <w:sz w:val="32"/>
          <w:szCs w:val="32"/>
          <w:lang w:val="en-US" w:eastAsia="zh-CN"/>
        </w:rPr>
        <w:t xml:space="preserve"> 无形资产配置的主要方式有自创、购置、受赠、受让、调拨和划转等。</w:t>
      </w:r>
    </w:p>
    <w:p w14:paraId="0E186CB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第三十二条</w:t>
      </w:r>
      <w:r>
        <w:rPr>
          <w:rFonts w:hint="eastAsia" w:ascii="仿宋" w:hAnsi="仿宋" w:eastAsia="仿宋" w:cs="仿宋"/>
          <w:sz w:val="32"/>
          <w:szCs w:val="32"/>
          <w:lang w:val="en-US" w:eastAsia="zh-CN"/>
        </w:rPr>
        <w:t xml:space="preserve"> 基金会自行开发或者研制的无形资产应依法及时申请并办理注册登记手续，明晰产权关系，依法确定无形资产的所有者。</w:t>
      </w:r>
    </w:p>
    <w:p w14:paraId="47D7336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第三十三条</w:t>
      </w:r>
      <w:r>
        <w:rPr>
          <w:rFonts w:hint="eastAsia" w:ascii="仿宋" w:hAnsi="仿宋" w:eastAsia="仿宋" w:cs="仿宋"/>
          <w:sz w:val="32"/>
          <w:szCs w:val="32"/>
          <w:lang w:val="en-US" w:eastAsia="zh-CN"/>
        </w:rPr>
        <w:t xml:space="preserve"> 基金会外购无形资产要符合平台战略发展规划，考虑经费并进行充分论证，避免重复、盲目引进。</w:t>
      </w:r>
    </w:p>
    <w:p w14:paraId="05B69AD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第三十四条</w:t>
      </w:r>
      <w:r>
        <w:rPr>
          <w:rFonts w:hint="eastAsia" w:ascii="仿宋" w:hAnsi="仿宋" w:eastAsia="仿宋" w:cs="仿宋"/>
          <w:sz w:val="32"/>
          <w:szCs w:val="32"/>
          <w:lang w:val="en-US" w:eastAsia="zh-CN"/>
        </w:rPr>
        <w:t xml:space="preserve"> 基金会应对长期闲置的无形资产及时合理调配，充分提高利用率，盘活存量，发挥其最大效益。</w:t>
      </w:r>
    </w:p>
    <w:p w14:paraId="45A8A22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p w14:paraId="454AABC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第八章 无形资产的清查和报告制度</w:t>
      </w:r>
    </w:p>
    <w:p w14:paraId="19E8F42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第三十五条</w:t>
      </w:r>
      <w:r>
        <w:rPr>
          <w:rFonts w:hint="eastAsia" w:ascii="仿宋" w:hAnsi="仿宋" w:eastAsia="仿宋" w:cs="仿宋"/>
          <w:sz w:val="32"/>
          <w:szCs w:val="32"/>
          <w:lang w:val="en-US" w:eastAsia="zh-CN"/>
        </w:rPr>
        <w:t xml:space="preserve"> 综合部会同财务部，每年年度终了对公司无形资产进行一次全面清查盘点，并根据需要不定期地进行全面或局部清查。对盘盈、盘亏的无形资产应及时查明原因，分清责任并按规定做出处理。</w:t>
      </w:r>
    </w:p>
    <w:p w14:paraId="73077F5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第三十六条</w:t>
      </w:r>
      <w:r>
        <w:rPr>
          <w:rFonts w:hint="eastAsia" w:ascii="仿宋" w:hAnsi="仿宋" w:eastAsia="仿宋" w:cs="仿宋"/>
          <w:sz w:val="32"/>
          <w:szCs w:val="32"/>
          <w:lang w:val="en-US" w:eastAsia="zh-CN"/>
        </w:rPr>
        <w:t xml:space="preserve"> 财务部按照民间非营利组织会计准则处理拥有的无形资产的期末计价问题，如有异议应及时向秘书长汇报。</w:t>
      </w:r>
    </w:p>
    <w:p w14:paraId="45C5ED9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7A3A353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第九章 无形资产的处置</w:t>
      </w:r>
    </w:p>
    <w:p w14:paraId="57ECDA8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第三十七条</w:t>
      </w:r>
      <w:r>
        <w:rPr>
          <w:rFonts w:hint="eastAsia" w:ascii="仿宋" w:hAnsi="仿宋" w:eastAsia="仿宋" w:cs="仿宋"/>
          <w:sz w:val="32"/>
          <w:szCs w:val="32"/>
          <w:lang w:val="en-US" w:eastAsia="zh-CN"/>
        </w:rPr>
        <w:t xml:space="preserve"> 无形资产的处置是基金会对无形资产进行产权（含所有权、使用权）转移或者成果的开发利用等行为，包括转让、开发利用、出售、投资、报废等。</w:t>
      </w:r>
    </w:p>
    <w:p w14:paraId="46E4B2E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第三十八条</w:t>
      </w:r>
      <w:r>
        <w:rPr>
          <w:rFonts w:hint="eastAsia" w:ascii="仿宋" w:hAnsi="仿宋" w:eastAsia="仿宋" w:cs="仿宋"/>
          <w:sz w:val="32"/>
          <w:szCs w:val="32"/>
          <w:lang w:val="en-US" w:eastAsia="zh-CN"/>
        </w:rPr>
        <w:t xml:space="preserve"> 基金会应按照公开、公正、合理、有序的原则，规范无形资产的处置行为，杜绝处置过程中的流失和违规现象。</w:t>
      </w:r>
    </w:p>
    <w:p w14:paraId="092B8D3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第三十九条</w:t>
      </w:r>
      <w:r>
        <w:rPr>
          <w:rFonts w:hint="eastAsia" w:ascii="仿宋" w:hAnsi="仿宋" w:eastAsia="仿宋" w:cs="仿宋"/>
          <w:sz w:val="32"/>
          <w:szCs w:val="32"/>
          <w:lang w:val="en-US" w:eastAsia="zh-CN"/>
        </w:rPr>
        <w:t xml:space="preserve"> 处置无形资产应符合以下程序：</w:t>
      </w:r>
    </w:p>
    <w:p w14:paraId="0B3C9A4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（一）使用部门提出处置申请；</w:t>
      </w:r>
    </w:p>
    <w:p w14:paraId="6B48A87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（二）综合部进行初审；</w:t>
      </w:r>
    </w:p>
    <w:p w14:paraId="13B5A9C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（三）秘书长、理事长签署审批意见；</w:t>
      </w:r>
    </w:p>
    <w:p w14:paraId="61C0DCC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（四）审批通过后，根据审批结果处置无形资产。</w:t>
      </w:r>
    </w:p>
    <w:p w14:paraId="45B00CA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第四十条</w:t>
      </w:r>
      <w:r>
        <w:rPr>
          <w:rFonts w:hint="eastAsia" w:ascii="仿宋" w:hAnsi="仿宋" w:eastAsia="仿宋" w:cs="仿宋"/>
          <w:sz w:val="32"/>
          <w:szCs w:val="32"/>
          <w:lang w:val="en-US" w:eastAsia="zh-CN"/>
        </w:rPr>
        <w:t xml:space="preserve"> 无形资产的处置如果有处置收益，应由财务部统一管理，按照有关规定进行规范记账，任何部门和个人不得截留挪用。</w:t>
      </w:r>
    </w:p>
    <w:p w14:paraId="38B173B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p w14:paraId="00C8EDF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第十章  附则</w:t>
      </w:r>
    </w:p>
    <w:p w14:paraId="31E60B8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第四十一条</w:t>
      </w:r>
      <w:r>
        <w:rPr>
          <w:rFonts w:hint="eastAsia" w:ascii="仿宋" w:hAnsi="仿宋" w:eastAsia="仿宋" w:cs="仿宋"/>
          <w:sz w:val="32"/>
          <w:szCs w:val="32"/>
          <w:lang w:val="en-US" w:eastAsia="zh-CN"/>
        </w:rPr>
        <w:t xml:space="preserve"> 本办法由宁波鄞州银行公益基金会制定、修改、解释，与国家相关规定冲突的，按国家相关规定执行。</w:t>
      </w:r>
    </w:p>
    <w:p w14:paraId="7594EA8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第四十二条</w:t>
      </w:r>
      <w:r>
        <w:rPr>
          <w:rFonts w:hint="eastAsia" w:ascii="仿宋" w:hAnsi="仿宋" w:eastAsia="仿宋" w:cs="仿宋"/>
          <w:sz w:val="32"/>
          <w:szCs w:val="32"/>
          <w:lang w:val="en-US" w:eastAsia="zh-CN"/>
        </w:rPr>
        <w:t xml:space="preserve"> 本办法自理事会审议通过后，自颁布之日起施行。 </w:t>
      </w:r>
    </w:p>
    <w:p w14:paraId="5E101D2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宁波鄞州银行公益基金会  </w:t>
      </w:r>
    </w:p>
    <w:p w14:paraId="257B2CD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right"/>
        <w:textAlignment w:val="auto"/>
      </w:pPr>
      <w:r>
        <w:rPr>
          <w:rFonts w:hint="eastAsia" w:ascii="仿宋" w:hAnsi="仿宋" w:eastAsia="仿宋" w:cs="仿宋"/>
          <w:sz w:val="32"/>
          <w:szCs w:val="32"/>
          <w:lang w:val="en-US" w:eastAsia="zh-CN"/>
        </w:rPr>
        <w:t>二〇二五年三月二十五日</w:t>
      </w:r>
      <w:bookmarkStart w:id="0" w:name="_GoBack"/>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Helvetica Neue">
    <w:altName w:val="Times New Roman"/>
    <w:panose1 w:val="00000000000000000000"/>
    <w:charset w:val="00"/>
    <w:family w:val="roman"/>
    <w:pitch w:val="default"/>
    <w:sig w:usb0="00000000" w:usb1="00000000" w:usb2="00000000" w:usb3="00000000" w:csb0="00000000" w:csb1="00000000"/>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02F0B">
    <w:pPr>
      <w:pStyle w:val="5"/>
      <w:framePr w:wrap="auto" w:vAnchor="margin" w:hAnchor="text" w:yAlign="inline"/>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9C6DF">
    <w:pPr>
      <w:pStyle w:val="4"/>
      <w:framePr w:wrap="auto" w:vAnchor="margin" w:hAnchor="text" w:yAlign="inline"/>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80228B"/>
    <w:rsid w:val="4880228B"/>
    <w:rsid w:val="5FD50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楷体_GB2312" w:cs="Times New Roman"/>
      <w:kern w:val="2"/>
      <w:sz w:val="28"/>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页眉与页脚"/>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 w:type="paragraph" w:customStyle="1" w:styleId="5">
    <w:name w:val="页脚1"/>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left"/>
      <w:outlineLvl w:val="9"/>
    </w:pPr>
    <w:rPr>
      <w:rFonts w:hint="default" w:ascii="Times New Roman" w:hAnsi="Times New Roman" w:eastAsia="Arial Unicode MS" w:cs="Arial Unicode MS"/>
      <w:color w:val="000000"/>
      <w:spacing w:val="0"/>
      <w:w w:val="100"/>
      <w:kern w:val="2"/>
      <w:position w:val="0"/>
      <w:sz w:val="18"/>
      <w:szCs w:val="18"/>
      <w:u w:val="none" w:color="000000"/>
      <w:vertAlign w:val="baseline"/>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3876</Words>
  <Characters>3883</Characters>
  <Lines>0</Lines>
  <Paragraphs>0</Paragraphs>
  <TotalTime>4</TotalTime>
  <ScaleCrop>false</ScaleCrop>
  <LinksUpToDate>false</LinksUpToDate>
  <CharactersWithSpaces>3946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2025-05-08T07:07:00Z</dcterms:created>
  <dc:creator>Shirley</dc:creator>
  <cp:lastModifiedBy>Shirley</cp:lastModifiedBy>
  <dcterms:modified xsi:type="dcterms:W3CDTF">2025-05-08T07:17:16Z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0A7EE9772D5546508D6B69C6CF3BF53B_11</vt:lpwstr>
  </property>
  <property fmtid="{D5CDD505-2E9C-101B-9397-08002B2CF9AE}" pid="4" name="KSOTemplateDocerSaveRecord">
    <vt:lpwstr>eyJoZGlkIjoiMjc5YTc4NzdjZjBmNjNiNzViNWM2MTBkODZjM2RkZGUiLCJ1c2VySWQiOiI2NzEwMTA3ODUifQ==</vt:lpwstr>
  </property>
</Properties>
</file>